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0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053"/>
        <w:gridCol w:w="1384"/>
        <w:gridCol w:w="1993"/>
        <w:gridCol w:w="1635"/>
        <w:gridCol w:w="2425"/>
      </w:tblGrid>
      <w:tr w:rsidRPr="00133F20" w:rsidR="00133F20" w:rsidTr="0CCB8006" w14:paraId="1F949A42" w14:textId="77777777">
        <w:trPr>
          <w:trHeight w:val="105"/>
        </w:trPr>
        <w:tc>
          <w:tcPr>
            <w:tcW w:w="2989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034DB18A" w14:textId="16452C3C">
            <w:r w:rsidR="00133F20">
              <w:rPr/>
              <w:t> </w:t>
            </w:r>
          </w:p>
        </w:tc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56A0AD8F" w14:textId="765C24D6"/>
        </w:tc>
        <w:tc>
          <w:tcPr>
            <w:tcW w:w="1635" w:type="dxa"/>
            <w:tcBorders>
              <w:top w:val="single" w:color="auto" w:sz="12" w:space="0"/>
              <w:left w:val="nil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6D2F2A27" w14:textId="77777777">
            <w:r w:rsidRPr="00133F20">
              <w:t> </w:t>
            </w:r>
          </w:p>
        </w:tc>
        <w:tc>
          <w:tcPr>
            <w:tcW w:w="242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45711DE4" w14:textId="77777777">
            <w:r w:rsidRPr="00133F20">
              <w:t> </w:t>
            </w:r>
          </w:p>
        </w:tc>
      </w:tr>
      <w:tr w:rsidRPr="00133F20" w:rsidR="00133F20" w:rsidTr="0CCB8006" w14:paraId="6A4298AB" w14:textId="77777777">
        <w:trPr>
          <w:trHeight w:val="240"/>
        </w:trPr>
        <w:tc>
          <w:tcPr>
            <w:tcW w:w="2989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22EE9511" w14:textId="77777777">
            <w:r w:rsidRPr="00133F20">
              <w:t> </w:t>
            </w:r>
          </w:p>
        </w:tc>
        <w:tc>
          <w:tcPr>
            <w:tcW w:w="1993" w:type="dxa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35D984C5" w14:textId="25FE4F2D"/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74C73A00" w14:textId="77777777">
            <w:r w:rsidRPr="00133F20">
              <w:t> </w:t>
            </w:r>
          </w:p>
        </w:tc>
        <w:tc>
          <w:tcPr>
            <w:tcW w:w="242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1A091A4C" w14:textId="77777777">
            <w:r w:rsidRPr="00133F20">
              <w:t> </w:t>
            </w:r>
          </w:p>
        </w:tc>
      </w:tr>
      <w:tr w:rsidRPr="00133F20" w:rsidR="00133F20" w:rsidTr="0CCB8006" w14:paraId="2FAB62EA" w14:textId="77777777">
        <w:trPr>
          <w:trHeight w:val="225"/>
        </w:trPr>
        <w:tc>
          <w:tcPr>
            <w:tcW w:w="2989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17E7C7C4" w14:textId="77777777">
            <w:r w:rsidRPr="00133F20">
              <w:t> </w:t>
            </w:r>
          </w:p>
        </w:tc>
        <w:tc>
          <w:tcPr>
            <w:tcW w:w="1993" w:type="dxa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31E77668" w14:textId="35F7D6A8"/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17B64335" w14:textId="77777777">
            <w:r w:rsidRPr="00133F20">
              <w:t> </w:t>
            </w:r>
          </w:p>
        </w:tc>
        <w:tc>
          <w:tcPr>
            <w:tcW w:w="242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463D1069" w14:textId="77777777">
            <w:r w:rsidRPr="00133F20">
              <w:t> </w:t>
            </w:r>
          </w:p>
        </w:tc>
      </w:tr>
      <w:tr w:rsidRPr="00133F20" w:rsidR="00133F20" w:rsidTr="0CCB8006" w14:paraId="12D5B824" w14:textId="77777777">
        <w:trPr>
          <w:trHeight w:val="225"/>
        </w:trPr>
        <w:tc>
          <w:tcPr>
            <w:tcW w:w="2989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5CFE6B85" w14:textId="1B41EE26"/>
        </w:tc>
        <w:tc>
          <w:tcPr>
            <w:tcW w:w="1993" w:type="dxa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276FB638" w14:textId="4540D1CF"/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03AE4136" w14:textId="77777777">
            <w:r w:rsidRPr="00133F20">
              <w:t> </w:t>
            </w:r>
          </w:p>
        </w:tc>
        <w:tc>
          <w:tcPr>
            <w:tcW w:w="242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4F08774E" w14:textId="77777777">
            <w:r w:rsidRPr="00133F20">
              <w:t> </w:t>
            </w:r>
          </w:p>
        </w:tc>
      </w:tr>
      <w:tr w:rsidRPr="00133F20" w:rsidR="00133F20" w:rsidTr="0CCB8006" w14:paraId="062AD1B0" w14:textId="77777777">
        <w:trPr>
          <w:trHeight w:val="240"/>
        </w:trPr>
        <w:tc>
          <w:tcPr>
            <w:tcW w:w="2989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2C05F786" w14:textId="4D2FC2E3">
            <w:r w:rsidRPr="00133F20">
              <w:drawing>
                <wp:inline distT="0" distB="0" distL="0" distR="0" wp14:anchorId="1645800A" wp14:editId="4C49FB05">
                  <wp:extent cx="1657350" cy="285750"/>
                  <wp:effectExtent l="0" t="0" r="0" b="0"/>
                  <wp:docPr id="843993079" name="Bilde 4" descr="Rectangle 3, Tekstb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ctangle 3, Tekstb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3F20">
              <w:t> </w:t>
            </w:r>
          </w:p>
        </w:tc>
        <w:tc>
          <w:tcPr>
            <w:tcW w:w="1993" w:type="dxa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7BF59D3A" w14:textId="3C2B5595"/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189DBA33" w14:textId="77777777">
            <w:r w:rsidRPr="00133F20">
              <w:t> </w:t>
            </w:r>
          </w:p>
        </w:tc>
        <w:tc>
          <w:tcPr>
            <w:tcW w:w="242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75FD0161" w14:textId="77777777">
            <w:r w:rsidRPr="00133F20">
              <w:t> </w:t>
            </w:r>
          </w:p>
        </w:tc>
      </w:tr>
      <w:tr w:rsidRPr="00133F20" w:rsidR="00133F20" w:rsidTr="0CCB8006" w14:paraId="1CB79146" w14:textId="77777777">
        <w:trPr>
          <w:trHeight w:val="225"/>
        </w:trPr>
        <w:tc>
          <w:tcPr>
            <w:tcW w:w="2989" w:type="dxa"/>
            <w:gridSpan w:val="3"/>
            <w:tcBorders>
              <w:top w:val="nil"/>
              <w:left w:val="single" w:color="auto" w:sz="12" w:space="0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33BB12B2" w14:textId="77777777">
            <w:r w:rsidRPr="00133F20">
              <w:t> </w:t>
            </w:r>
          </w:p>
        </w:tc>
        <w:tc>
          <w:tcPr>
            <w:tcW w:w="1993" w:type="dxa"/>
            <w:tcBorders>
              <w:top w:val="nil"/>
              <w:left w:val="single" w:color="auto" w:sz="12" w:space="0"/>
              <w:bottom w:val="nil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2AC914A0" w14:textId="271D0134"/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133F20" w:rsidR="00133F20" w:rsidP="00133F20" w:rsidRDefault="00133F20" w14:paraId="7F290F6B" w14:textId="77777777">
            <w:r w:rsidRPr="00133F20">
              <w:t> </w:t>
            </w:r>
          </w:p>
        </w:tc>
        <w:tc>
          <w:tcPr>
            <w:tcW w:w="2425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65417F25" w14:textId="77777777">
            <w:r w:rsidRPr="00133F20">
              <w:t> </w:t>
            </w:r>
          </w:p>
        </w:tc>
      </w:tr>
      <w:tr w:rsidRPr="00133F20" w:rsidR="00133F20" w:rsidTr="0CCB8006" w14:paraId="779BE9F5" w14:textId="77777777">
        <w:trPr>
          <w:trHeight w:val="375"/>
        </w:trPr>
        <w:tc>
          <w:tcPr>
            <w:tcW w:w="2989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tcMar/>
            <w:hideMark/>
          </w:tcPr>
          <w:p w:rsidRPr="00133F20" w:rsidR="00133F20" w:rsidP="00133F20" w:rsidRDefault="00133F20" w14:paraId="494CF44F" w14:textId="77777777">
            <w:r w:rsidRPr="00133F20">
              <w:t> </w:t>
            </w:r>
          </w:p>
        </w:tc>
        <w:tc>
          <w:tcPr>
            <w:tcW w:w="199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0758BD58" w14:textId="408F0739"/>
        </w:tc>
        <w:tc>
          <w:tcPr>
            <w:tcW w:w="1635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hideMark/>
          </w:tcPr>
          <w:p w:rsidRPr="00133F20" w:rsidR="00133F20" w:rsidP="00133F20" w:rsidRDefault="00133F20" w14:paraId="72647DC1" w14:textId="77777777">
            <w:r w:rsidRPr="00133F20">
              <w:t> </w:t>
            </w:r>
          </w:p>
        </w:tc>
        <w:tc>
          <w:tcPr>
            <w:tcW w:w="24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14395C70" w14:textId="77777777">
            <w:r w:rsidRPr="00133F20">
              <w:t> </w:t>
            </w:r>
          </w:p>
        </w:tc>
      </w:tr>
      <w:tr w:rsidRPr="00133F20" w:rsidR="00133F20" w:rsidTr="0CCB8006" w14:paraId="06E6C3A1" w14:textId="77777777">
        <w:trPr>
          <w:trHeight w:val="390"/>
        </w:trPr>
        <w:tc>
          <w:tcPr>
            <w:tcW w:w="160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336B61D4" w14:textId="77777777">
            <w:r w:rsidRPr="00133F20">
              <w:rPr>
                <w:b/>
                <w:bCs/>
              </w:rPr>
              <w:t>Til stede:</w:t>
            </w:r>
            <w:r w:rsidRPr="00133F20">
              <w:t> </w:t>
            </w:r>
          </w:p>
        </w:tc>
        <w:tc>
          <w:tcPr>
            <w:tcW w:w="7437" w:type="dxa"/>
            <w:gridSpan w:val="4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3994C560" w14:textId="5B36B447">
            <w:r w:rsidR="00133F20">
              <w:rPr/>
              <w:t>Tilstede</w:t>
            </w:r>
            <w:r w:rsidR="00133F20">
              <w:rPr/>
              <w:t>: Kjetil </w:t>
            </w:r>
            <w:r w:rsidR="00133F20">
              <w:rPr/>
              <w:t>Vasbø</w:t>
            </w:r>
            <w:r w:rsidR="00133F20">
              <w:rPr/>
              <w:t>, </w:t>
            </w:r>
            <w:r w:rsidR="00133F20">
              <w:rPr/>
              <w:t>Anngunn</w:t>
            </w:r>
            <w:r w:rsidR="00133F20">
              <w:rPr/>
              <w:t> Miljeteig, Camilla Aurdal, Kathrine Pollestad, Monica Kjellesvik, Anja Tollaksen Erga, Linn-Christin, Janne </w:t>
            </w:r>
            <w:r w:rsidR="00133F20">
              <w:rPr/>
              <w:t>Østrått</w:t>
            </w:r>
            <w:r w:rsidR="00133F20">
              <w:rPr/>
              <w:t> </w:t>
            </w:r>
            <w:r w:rsidR="00133F20">
              <w:rPr/>
              <w:t>Tou</w:t>
            </w:r>
            <w:r w:rsidR="00133F20">
              <w:rPr/>
              <w:t>, Paul Eirik </w:t>
            </w:r>
            <w:r w:rsidR="00133F20">
              <w:rPr/>
              <w:t>Jourdan</w:t>
            </w:r>
            <w:r w:rsidR="00133F20">
              <w:rPr/>
              <w:t>, </w:t>
            </w:r>
            <w:r w:rsidR="00133F20">
              <w:rPr/>
              <w:t>Geh</w:t>
            </w:r>
            <w:r w:rsidR="0DAB4F71">
              <w:rPr/>
              <w:t>a</w:t>
            </w:r>
            <w:r w:rsidR="00133F20">
              <w:rPr/>
              <w:t>n</w:t>
            </w:r>
            <w:r w:rsidR="00133F20">
              <w:rPr/>
              <w:t> </w:t>
            </w:r>
            <w:r w:rsidR="00133F20">
              <w:rPr/>
              <w:t>Skhmot</w:t>
            </w:r>
            <w:r w:rsidR="00133F20">
              <w:rPr/>
              <w:t>. </w:t>
            </w:r>
          </w:p>
          <w:p w:rsidRPr="00133F20" w:rsidR="00133F20" w:rsidP="00133F20" w:rsidRDefault="00133F20" w14:paraId="1B64D908" w14:textId="77777777">
            <w:r w:rsidRPr="00133F20">
              <w:t> </w:t>
            </w:r>
          </w:p>
        </w:tc>
      </w:tr>
      <w:tr w:rsidRPr="00133F20" w:rsidR="00133F20" w:rsidTr="0CCB8006" w14:paraId="2FA3EAD2" w14:textId="77777777">
        <w:trPr>
          <w:trHeight w:val="390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5DEBA20C" w14:textId="77777777">
            <w:r w:rsidRPr="00133F20">
              <w:rPr>
                <w:b/>
                <w:bCs/>
              </w:rPr>
              <w:t>Forfall: </w:t>
            </w:r>
            <w:r w:rsidRPr="00133F20">
              <w:t> </w:t>
            </w:r>
          </w:p>
        </w:tc>
        <w:tc>
          <w:tcPr>
            <w:tcW w:w="7437" w:type="dxa"/>
            <w:gridSpan w:val="4"/>
            <w:tcBorders>
              <w:top w:val="nil"/>
              <w:left w:val="nil"/>
              <w:bottom w:val="nil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33B486CB" w14:textId="77777777">
            <w:r w:rsidRPr="00133F20">
              <w:t> </w:t>
            </w:r>
          </w:p>
        </w:tc>
      </w:tr>
      <w:tr w:rsidRPr="00133F20" w:rsidR="00133F20" w:rsidTr="0CCB8006" w14:paraId="256F85CF" w14:textId="77777777">
        <w:trPr>
          <w:trHeight w:val="405"/>
        </w:trPr>
        <w:tc>
          <w:tcPr>
            <w:tcW w:w="16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3E74424C" w14:textId="77777777">
            <w:r w:rsidRPr="00133F20">
              <w:rPr>
                <w:b/>
                <w:bCs/>
              </w:rPr>
              <w:t>Sendes også:</w:t>
            </w:r>
            <w:r w:rsidRPr="00133F20">
              <w:t> </w:t>
            </w:r>
          </w:p>
        </w:tc>
        <w:tc>
          <w:tcPr>
            <w:tcW w:w="7437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0D202671" w14:textId="77777777">
            <w:r w:rsidRPr="00133F20">
              <w:t> </w:t>
            </w:r>
          </w:p>
        </w:tc>
      </w:tr>
      <w:tr w:rsidRPr="00133F20" w:rsidR="00133F20" w:rsidTr="0CCB8006" w14:paraId="5D646AB5" w14:textId="77777777">
        <w:trPr>
          <w:trHeight w:val="690"/>
        </w:trPr>
        <w:tc>
          <w:tcPr>
            <w:tcW w:w="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426D17FD" w14:textId="77777777">
            <w:r w:rsidRPr="00133F20">
              <w:rPr>
                <w:b/>
                <w:bCs/>
              </w:rPr>
              <w:t>SAK</w:t>
            </w:r>
            <w:r w:rsidRPr="00133F20">
              <w:t> </w:t>
            </w:r>
          </w:p>
        </w:tc>
        <w:tc>
          <w:tcPr>
            <w:tcW w:w="6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6E3E0AD1" w14:textId="77777777">
            <w:r w:rsidRPr="00133F20">
              <w:t> 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5D31DFD2" w14:textId="77777777">
            <w:r w:rsidRPr="00133F20">
              <w:rPr>
                <w:b/>
                <w:bCs/>
              </w:rPr>
              <w:t>ANSVARLIG/FERDIG TIL</w:t>
            </w:r>
            <w:r w:rsidRPr="00133F20">
              <w:t> </w:t>
            </w:r>
          </w:p>
        </w:tc>
      </w:tr>
      <w:tr w:rsidRPr="00133F20" w:rsidR="00133F20" w:rsidTr="0CCB8006" w14:paraId="5AC68ADA" w14:textId="77777777">
        <w:trPr>
          <w:trHeight w:val="690"/>
        </w:trPr>
        <w:tc>
          <w:tcPr>
            <w:tcW w:w="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705E7F69" w14:textId="77777777">
            <w:r w:rsidRPr="00133F20">
              <w:rPr>
                <w:b/>
                <w:bCs/>
              </w:rPr>
              <w:t>1.</w:t>
            </w:r>
            <w:r w:rsidRPr="00133F20">
              <w:t> </w:t>
            </w:r>
          </w:p>
        </w:tc>
        <w:tc>
          <w:tcPr>
            <w:tcW w:w="6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744AE14B" w14:textId="77777777">
            <w:r w:rsidRPr="00133F20">
              <w:t>Smarttelefonfri skole: </w:t>
            </w:r>
          </w:p>
          <w:p w:rsidRPr="00133F20" w:rsidR="00133F20" w:rsidP="00133F20" w:rsidRDefault="00133F20" w14:paraId="77B1E7B7" w14:textId="77777777">
            <w:pPr>
              <w:numPr>
                <w:ilvl w:val="0"/>
                <w:numId w:val="1"/>
              </w:numPr>
            </w:pPr>
            <w:r w:rsidRPr="00133F20">
              <w:t> </w:t>
            </w:r>
            <w:proofErr w:type="spellStart"/>
            <w:r w:rsidRPr="00133F20">
              <w:t>Kickoff</w:t>
            </w:r>
            <w:proofErr w:type="spellEnd"/>
            <w:r w:rsidRPr="00133F20">
              <w:t> med en foreldrekveld. Kan det være en start på en prosess hvor man blir enige om like føringer. Eksempelvis ikke smarttelefon før de er 13 år.   </w:t>
            </w:r>
          </w:p>
          <w:p w:rsidRPr="00133F20" w:rsidR="00133F20" w:rsidP="00133F20" w:rsidRDefault="00133F20" w14:paraId="7F133FDA" w14:textId="77777777">
            <w:pPr>
              <w:numPr>
                <w:ilvl w:val="0"/>
                <w:numId w:val="2"/>
              </w:numPr>
            </w:pPr>
            <w:r w:rsidRPr="00133F20">
              <w:t>Foreldre kan gi “dum-telefon” til barna.  </w:t>
            </w:r>
          </w:p>
          <w:p w:rsidRPr="00133F20" w:rsidR="00133F20" w:rsidP="00133F20" w:rsidRDefault="00133F20" w14:paraId="20858F73" w14:textId="77777777">
            <w:pPr>
              <w:numPr>
                <w:ilvl w:val="0"/>
                <w:numId w:val="3"/>
              </w:numPr>
            </w:pPr>
            <w:r w:rsidRPr="00133F20">
              <w:t>Få frem budskapet om hva risikoen er av en smarttelefon.  </w:t>
            </w:r>
          </w:p>
          <w:p w:rsidRPr="00133F20" w:rsidR="00133F20" w:rsidP="00133F20" w:rsidRDefault="00133F20" w14:paraId="3EDCEEFE" w14:textId="77777777">
            <w:pPr>
              <w:numPr>
                <w:ilvl w:val="0"/>
                <w:numId w:val="4"/>
              </w:numPr>
            </w:pPr>
            <w:r w:rsidRPr="00133F20">
              <w:t>Flere skoler i Sandnes har nå gått inn for ett ønske om å utsette smart-telefon.  </w:t>
            </w:r>
          </w:p>
          <w:p w:rsidRPr="00133F20" w:rsidR="00133F20" w:rsidP="00133F20" w:rsidRDefault="00133F20" w14:paraId="3CC9534D" w14:textId="77777777">
            <w:pPr>
              <w:numPr>
                <w:ilvl w:val="0"/>
                <w:numId w:val="5"/>
              </w:numPr>
            </w:pPr>
            <w:r w:rsidRPr="00133F20">
              <w:lastRenderedPageBreak/>
              <w:t>Sende ut rådene om skjermbruk. Hjemmesiden på skolen og Transponder.  </w:t>
            </w:r>
          </w:p>
          <w:p w:rsidRPr="00133F20" w:rsidR="00133F20" w:rsidP="00133F20" w:rsidRDefault="00133F20" w14:paraId="128D8053" w14:textId="77777777">
            <w:pPr>
              <w:numPr>
                <w:ilvl w:val="0"/>
                <w:numId w:val="6"/>
              </w:numPr>
            </w:pPr>
            <w:r w:rsidRPr="00133F20">
              <w:t>Dette kan være tema på vårens foreldremøte.  </w:t>
            </w:r>
          </w:p>
          <w:p w:rsidRPr="00133F20" w:rsidR="00133F20" w:rsidP="00133F20" w:rsidRDefault="00133F20" w14:paraId="5980B157" w14:textId="77777777">
            <w:pPr>
              <w:numPr>
                <w:ilvl w:val="0"/>
                <w:numId w:val="7"/>
              </w:numPr>
            </w:pPr>
            <w:r w:rsidRPr="00133F20">
              <w:t>IKT hvordan kan man sikre innholdet som de gjør på telefon/</w:t>
            </w:r>
            <w:proofErr w:type="spellStart"/>
            <w:r w:rsidRPr="00133F20">
              <w:t>ipac</w:t>
            </w:r>
            <w:proofErr w:type="spellEnd"/>
            <w:r w:rsidRPr="00133F20">
              <w:t>/</w:t>
            </w:r>
            <w:proofErr w:type="spellStart"/>
            <w:r w:rsidRPr="00133F20">
              <w:t>chroomebook</w:t>
            </w:r>
            <w:proofErr w:type="spellEnd"/>
            <w:r w:rsidRPr="00133F20">
              <w:t>.  </w:t>
            </w:r>
          </w:p>
          <w:p w:rsidRPr="00133F20" w:rsidR="00133F20" w:rsidP="00133F20" w:rsidRDefault="00133F20" w14:paraId="3920317F" w14:textId="77777777">
            <w:pPr>
              <w:numPr>
                <w:ilvl w:val="0"/>
                <w:numId w:val="8"/>
              </w:numPr>
            </w:pPr>
            <w:r w:rsidRPr="00133F20">
              <w:t>Høre med skolen om telefon er ett problem på skolen eller ikke.  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23179547" w14:textId="791F9616">
            <w:r w:rsidRPr="0CCB8006" w:rsidR="00133F20">
              <w:rPr>
                <w:b w:val="1"/>
                <w:bCs w:val="1"/>
              </w:rPr>
              <w:t>Geh</w:t>
            </w:r>
            <w:r w:rsidRPr="0CCB8006" w:rsidR="03D7AEAB">
              <w:rPr>
                <w:b w:val="1"/>
                <w:bCs w:val="1"/>
              </w:rPr>
              <w:t>a</w:t>
            </w:r>
            <w:r w:rsidRPr="0CCB8006" w:rsidR="00133F20">
              <w:rPr>
                <w:b w:val="1"/>
                <w:bCs w:val="1"/>
              </w:rPr>
              <w:t>n</w:t>
            </w:r>
            <w:r w:rsidRPr="0CCB8006" w:rsidR="00133F20">
              <w:rPr>
                <w:b w:val="1"/>
                <w:bCs w:val="1"/>
              </w:rPr>
              <w:t> sender informasjon foreldre og hjemmesiden skolen.</w:t>
            </w:r>
            <w:r w:rsidR="00133F20">
              <w:rPr/>
              <w:t> </w:t>
            </w:r>
          </w:p>
        </w:tc>
      </w:tr>
      <w:tr w:rsidRPr="00133F20" w:rsidR="00133F20" w:rsidTr="0CCB8006" w14:paraId="28A81759" w14:textId="77777777">
        <w:trPr>
          <w:trHeight w:val="690"/>
        </w:trPr>
        <w:tc>
          <w:tcPr>
            <w:tcW w:w="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0DC9A0AB" w14:textId="77777777">
            <w:r w:rsidRPr="00133F20">
              <w:rPr>
                <w:b/>
                <w:bCs/>
              </w:rPr>
              <w:t>2. </w:t>
            </w:r>
            <w:r w:rsidRPr="00133F20">
              <w:t> </w:t>
            </w:r>
          </w:p>
        </w:tc>
        <w:tc>
          <w:tcPr>
            <w:tcW w:w="6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0B2580F0" w14:textId="77777777">
            <w:r w:rsidRPr="00133F20">
              <w:t> Orientering fra skolen/Atle:  </w:t>
            </w:r>
          </w:p>
          <w:p w:rsidRPr="00133F20" w:rsidR="00133F20" w:rsidP="00133F20" w:rsidRDefault="00133F20" w14:paraId="38D02F3C" w14:textId="77777777">
            <w:pPr>
              <w:numPr>
                <w:ilvl w:val="0"/>
                <w:numId w:val="9"/>
              </w:numPr>
            </w:pPr>
            <w:r w:rsidRPr="00133F20">
              <w:t>Trafikk- det kjøres en sak om hvordan de skal håndtere bossdunkene. </w:t>
            </w:r>
          </w:p>
          <w:p w:rsidRPr="00133F20" w:rsidR="00133F20" w:rsidP="00133F20" w:rsidRDefault="00133F20" w14:paraId="25B0E58B" w14:textId="77777777">
            <w:pPr>
              <w:numPr>
                <w:ilvl w:val="0"/>
                <w:numId w:val="10"/>
              </w:numPr>
            </w:pPr>
            <w:r w:rsidRPr="00133F20">
              <w:t>Tomten til Proservice kan de ikke gjøre noe med fordi kommunen ikke eier det.  </w:t>
            </w:r>
          </w:p>
          <w:p w:rsidRPr="00133F20" w:rsidR="00133F20" w:rsidP="00133F20" w:rsidRDefault="00133F20" w14:paraId="0E62C9AF" w14:textId="77777777">
            <w:pPr>
              <w:numPr>
                <w:ilvl w:val="0"/>
                <w:numId w:val="11"/>
              </w:numPr>
            </w:pPr>
            <w:r w:rsidRPr="00133F20">
              <w:t>Trafikkgruppen purrer før neste møte med SU.  </w:t>
            </w:r>
          </w:p>
          <w:p w:rsidRPr="00133F20" w:rsidR="00133F20" w:rsidP="00133F20" w:rsidRDefault="00133F20" w14:paraId="7EDFFD49" w14:textId="77777777">
            <w:r w:rsidRPr="00133F20">
              <w:t>Julefrokosten: </w:t>
            </w:r>
          </w:p>
          <w:p w:rsidRPr="00133F20" w:rsidR="00133F20" w:rsidP="00133F20" w:rsidRDefault="00133F20" w14:paraId="7204DAFE" w14:textId="77777777">
            <w:pPr>
              <w:numPr>
                <w:ilvl w:val="0"/>
                <w:numId w:val="12"/>
              </w:numPr>
            </w:pPr>
            <w:r w:rsidRPr="00133F20">
              <w:t>Mye positive tilbakemeldinger.  </w:t>
            </w:r>
          </w:p>
          <w:p w:rsidRPr="00133F20" w:rsidR="00133F20" w:rsidP="00133F20" w:rsidRDefault="00133F20" w14:paraId="3F523DAE" w14:textId="77777777">
            <w:pPr>
              <w:numPr>
                <w:ilvl w:val="0"/>
                <w:numId w:val="13"/>
              </w:numPr>
            </w:pPr>
            <w:r w:rsidRPr="00133F20">
              <w:t>Utfordrende å si at noen må gå som eksempelvis ungdommer. De kan også oppleves som utrygge for ungene på skolen. </w:t>
            </w:r>
          </w:p>
          <w:p w:rsidRPr="00133F20" w:rsidR="00133F20" w:rsidP="00133F20" w:rsidRDefault="00133F20" w14:paraId="51151C58" w14:textId="77777777">
            <w:pPr>
              <w:numPr>
                <w:ilvl w:val="0"/>
                <w:numId w:val="14"/>
              </w:numPr>
            </w:pPr>
            <w:r w:rsidRPr="00133F20">
              <w:t>Kan invitasjonen se annerledes ut, slik det er tydelig hvem som skal komme.  </w:t>
            </w:r>
          </w:p>
          <w:p w:rsidRPr="00133F20" w:rsidR="00133F20" w:rsidP="00133F20" w:rsidRDefault="00133F20" w14:paraId="31ED3788" w14:textId="0F9BFA2B">
            <w:pPr>
              <w:numPr>
                <w:ilvl w:val="0"/>
                <w:numId w:val="15"/>
              </w:numPr>
              <w:rPr/>
            </w:pPr>
            <w:r w:rsidR="00133F20">
              <w:rPr/>
              <w:t>Lokalet er egnet til mye folk. Det er gjort ROS </w:t>
            </w:r>
            <w:r w:rsidR="00133F20">
              <w:rPr/>
              <w:t>analyse</w:t>
            </w:r>
            <w:r w:rsidR="00133F20">
              <w:rPr/>
              <w:t>, men Atle skal sjekke det videre.  </w:t>
            </w:r>
          </w:p>
          <w:p w:rsidRPr="00133F20" w:rsidR="00133F20" w:rsidP="00133F20" w:rsidRDefault="00133F20" w14:paraId="747834E5" w14:textId="77777777">
            <w:r w:rsidRPr="00133F20">
              <w:t> </w:t>
            </w:r>
          </w:p>
          <w:p w:rsidRPr="00133F20" w:rsidR="00133F20" w:rsidP="00133F20" w:rsidRDefault="00133F20" w14:paraId="429222E3" w14:textId="77777777">
            <w:r w:rsidRPr="00133F20">
              <w:t>Mobbetallene: </w:t>
            </w:r>
          </w:p>
          <w:p w:rsidRPr="00133F20" w:rsidR="00133F20" w:rsidP="0CCB8006" w:rsidRDefault="00133F20" w14:paraId="7576DF2E" w14:textId="6788AE02">
            <w:pPr>
              <w:numPr>
                <w:ilvl w:val="0"/>
                <w:numId w:val="16"/>
              </w:numPr>
              <w:rPr/>
            </w:pPr>
            <w:r w:rsidR="00133F20">
              <w:rPr/>
              <w:t>Det er 22% mobbing. Det er 10 elever på 7ene som sier at de blir mobbet. Dette oppleves som at det ikke stemmer, men</w:t>
            </w:r>
            <w:r w:rsidR="00133F20">
              <w:rPr/>
              <w:t> må ta det på alvor. 12. Desember tok Sandnesposten kontakt. Vi må få tid til å tenke før vi snakker med Sandnesposten. Skolen får beskjed hver uke gjennom trivselsundersøkelse. Det er to elever som man vet om. 15/12 snakket skolen med alle elevene for å sikre hvem som blir mobbet. 16/12 gjennomføres en avdekkende undersøkelse.  </w:t>
            </w:r>
          </w:p>
          <w:p w:rsidRPr="00133F20" w:rsidR="00133F20" w:rsidP="00133F20" w:rsidRDefault="00133F20" w14:paraId="6C5CCCA3" w14:textId="77777777">
            <w:pPr>
              <w:numPr>
                <w:ilvl w:val="0"/>
                <w:numId w:val="18"/>
              </w:numPr>
            </w:pPr>
            <w:r w:rsidRPr="00133F20">
              <w:t>Det mye stygt språkbruk. Det er erting som blir sårende.  </w:t>
            </w:r>
          </w:p>
          <w:p w:rsidRPr="00133F20" w:rsidR="00133F20" w:rsidP="00133F20" w:rsidRDefault="00133F20" w14:paraId="3F237CD4" w14:textId="77777777">
            <w:pPr>
              <w:numPr>
                <w:ilvl w:val="0"/>
                <w:numId w:val="19"/>
              </w:numPr>
            </w:pPr>
            <w:r w:rsidRPr="00133F20">
              <w:lastRenderedPageBreak/>
              <w:t>Foreldre ble informert og ba dem ta kontakt ved mistanke om mobbing.  </w:t>
            </w:r>
          </w:p>
          <w:p w:rsidRPr="00133F20" w:rsidR="00133F20" w:rsidP="00133F20" w:rsidRDefault="00133F20" w14:paraId="4F78B558" w14:textId="77777777">
            <w:pPr>
              <w:numPr>
                <w:ilvl w:val="0"/>
                <w:numId w:val="20"/>
              </w:numPr>
            </w:pPr>
            <w:r w:rsidRPr="00133F20">
              <w:t>Det kan også skje feil hvor elever eksempelvis bare krysser uten å lese osv.  </w:t>
            </w:r>
          </w:p>
          <w:p w:rsidRPr="00133F20" w:rsidR="00133F20" w:rsidP="00133F20" w:rsidRDefault="00133F20" w14:paraId="64D1D31F" w14:textId="77777777">
            <w:r w:rsidRPr="00133F20">
              <w:t> </w:t>
            </w:r>
          </w:p>
          <w:p w:rsidRPr="00133F20" w:rsidR="00133F20" w:rsidP="00133F20" w:rsidRDefault="00133F20" w14:paraId="609D4A84" w14:textId="77777777">
            <w:r w:rsidRPr="00133F20">
              <w:t>Hvordan følger vi opp elever som ikke følger reglene: </w:t>
            </w:r>
          </w:p>
          <w:p w:rsidRPr="00133F20" w:rsidR="00133F20" w:rsidP="00133F20" w:rsidRDefault="00133F20" w14:paraId="0D408645" w14:textId="77777777">
            <w:pPr>
              <w:numPr>
                <w:ilvl w:val="0"/>
                <w:numId w:val="21"/>
              </w:numPr>
            </w:pPr>
            <w:r w:rsidRPr="00133F20">
              <w:t>Forskrift om skoleregler.  </w:t>
            </w:r>
          </w:p>
          <w:p w:rsidRPr="00133F20" w:rsidR="00133F20" w:rsidP="00133F20" w:rsidRDefault="00133F20" w14:paraId="7F6BB026" w14:textId="77777777">
            <w:pPr>
              <w:numPr>
                <w:ilvl w:val="0"/>
                <w:numId w:val="22"/>
              </w:numPr>
            </w:pPr>
            <w:r w:rsidRPr="00133F20">
              <w:t>Alle skal ha det trygt og godt, trivsel og læring.  </w:t>
            </w:r>
          </w:p>
          <w:p w:rsidR="00133F20" w:rsidP="00133F20" w:rsidRDefault="00133F20" w14:paraId="2483EE2A" w14:textId="77777777">
            <w:pPr>
              <w:numPr>
                <w:ilvl w:val="0"/>
                <w:numId w:val="23"/>
              </w:numPr>
            </w:pPr>
            <w:r w:rsidRPr="00133F20">
              <w:t>At felleskap på skolen angår skolen.  </w:t>
            </w:r>
          </w:p>
          <w:p w:rsidR="00133F20" w:rsidP="00133F20" w:rsidRDefault="00133F20" w14:paraId="62843C54" w14:textId="77777777">
            <w:pPr>
              <w:numPr>
                <w:ilvl w:val="0"/>
                <w:numId w:val="23"/>
              </w:numPr>
            </w:pPr>
            <w:r>
              <w:t xml:space="preserve">Når lærere tar kontakt med elev og foreldre er det en forventing om at negativ atferd slutte. </w:t>
            </w:r>
          </w:p>
          <w:p w:rsidR="00133F20" w:rsidP="00133F20" w:rsidRDefault="00133F20" w14:paraId="5732B43E" w14:textId="77777777">
            <w:pPr>
              <w:numPr>
                <w:ilvl w:val="0"/>
                <w:numId w:val="23"/>
              </w:numPr>
            </w:pPr>
            <w:r>
              <w:t xml:space="preserve">Det er ikke lov med anmerkning, gjensitting, bortvisning SFO, stenge ut fra planlagt undervisning. </w:t>
            </w:r>
          </w:p>
          <w:p w:rsidR="00133F20" w:rsidP="00133F20" w:rsidRDefault="00133F20" w14:paraId="1CBF8240" w14:textId="77777777">
            <w:pPr>
              <w:numPr>
                <w:ilvl w:val="0"/>
                <w:numId w:val="23"/>
              </w:numPr>
            </w:pPr>
            <w:r>
              <w:t xml:space="preserve">Hva kan skolen gjøre når det er høyt støynivå i timene, </w:t>
            </w:r>
          </w:p>
          <w:p w:rsidR="00881E10" w:rsidP="00133F20" w:rsidRDefault="00881E10" w14:paraId="21561267" w14:textId="26FB5E52">
            <w:pPr>
              <w:numPr>
                <w:ilvl w:val="0"/>
                <w:numId w:val="23"/>
              </w:numPr>
              <w:rPr/>
            </w:pPr>
            <w:r w:rsidR="00881E10">
              <w:rPr/>
              <w:t>Vi treng at elevene skjønner elevrollen der de sitter på s</w:t>
            </w:r>
            <w:r w:rsidR="4EB4D06A">
              <w:rPr/>
              <w:t>kolen.</w:t>
            </w:r>
          </w:p>
          <w:p w:rsidRPr="00133F20" w:rsidR="00881E10" w:rsidP="00133F20" w:rsidRDefault="00881E10" w14:paraId="61518CA7" w14:textId="0CF16B7E">
            <w:pPr>
              <w:numPr>
                <w:ilvl w:val="0"/>
                <w:numId w:val="23"/>
              </w:numPr>
            </w:pPr>
            <w:r>
              <w:t>Det er mer ett samfunnsproblem at ungene ikke er forberedt i idretten eller skole.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108DBD69" w14:textId="77777777">
            <w:r w:rsidRPr="00133F20">
              <w:lastRenderedPageBreak/>
              <w:t> </w:t>
            </w:r>
          </w:p>
        </w:tc>
      </w:tr>
      <w:tr w:rsidRPr="00133F20" w:rsidR="00133F20" w:rsidTr="0CCB8006" w14:paraId="4E2A143C" w14:textId="77777777">
        <w:trPr>
          <w:trHeight w:val="690"/>
        </w:trPr>
        <w:tc>
          <w:tcPr>
            <w:tcW w:w="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53947FA2" w14:textId="4DE7B72C">
            <w:r w:rsidRPr="00133F20">
              <w:t> </w:t>
            </w:r>
            <w:r w:rsidR="00881E10">
              <w:t xml:space="preserve">3. </w:t>
            </w:r>
          </w:p>
        </w:tc>
        <w:tc>
          <w:tcPr>
            <w:tcW w:w="6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133F20" w:rsidP="00133F20" w:rsidRDefault="00133F20" w14:paraId="07B2A966" w14:textId="77777777">
            <w:r w:rsidRPr="00133F20">
              <w:t> </w:t>
            </w:r>
            <w:r w:rsidR="00881E10">
              <w:t>Tung sekk.</w:t>
            </w:r>
          </w:p>
          <w:p w:rsidRPr="00133F20" w:rsidR="00881E10" w:rsidP="00881E10" w:rsidRDefault="00881E10" w14:paraId="02F13C94" w14:textId="1645B116">
            <w:pPr>
              <w:pStyle w:val="Listeavsnitt"/>
              <w:numPr>
                <w:ilvl w:val="0"/>
                <w:numId w:val="24"/>
              </w:numPr>
            </w:pPr>
            <w:r>
              <w:t xml:space="preserve">Det skal nå veies hvor tung sekken skal være. 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7BAD9B41" w14:textId="77777777">
            <w:r w:rsidRPr="00133F20">
              <w:t> </w:t>
            </w:r>
          </w:p>
        </w:tc>
      </w:tr>
      <w:tr w:rsidRPr="00133F20" w:rsidR="00133F20" w:rsidTr="0CCB8006" w14:paraId="7E74A44E" w14:textId="77777777">
        <w:trPr>
          <w:trHeight w:val="690"/>
        </w:trPr>
        <w:tc>
          <w:tcPr>
            <w:tcW w:w="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3F5729DF" w14:textId="77777777">
            <w:r w:rsidRPr="00133F20">
              <w:t> </w:t>
            </w:r>
          </w:p>
        </w:tc>
        <w:tc>
          <w:tcPr>
            <w:tcW w:w="6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133F20" w:rsidP="00133F20" w:rsidRDefault="00133F20" w14:paraId="5D7852C1" w14:textId="3B2755F2">
            <w:r w:rsidRPr="00133F20">
              <w:t> </w:t>
            </w:r>
            <w:r w:rsidR="00881E10">
              <w:t>Foreldrekvelden 4/2</w:t>
            </w:r>
            <w:r w:rsidR="00350F7A">
              <w:t xml:space="preserve"> </w:t>
            </w:r>
            <w:proofErr w:type="spellStart"/>
            <w:r w:rsidR="00350F7A">
              <w:t>kl</w:t>
            </w:r>
            <w:proofErr w:type="spellEnd"/>
            <w:r w:rsidR="00350F7A">
              <w:t xml:space="preserve"> 18-19. </w:t>
            </w:r>
          </w:p>
          <w:p w:rsidR="00881E10" w:rsidP="00881E10" w:rsidRDefault="00881E10" w14:paraId="25B231B4" w14:textId="77777777">
            <w:pPr>
              <w:pStyle w:val="Listeavsnitt"/>
              <w:numPr>
                <w:ilvl w:val="0"/>
                <w:numId w:val="24"/>
              </w:numPr>
            </w:pPr>
            <w:r>
              <w:t xml:space="preserve">Neil Morgen jobber i Microsoft. </w:t>
            </w:r>
          </w:p>
          <w:p w:rsidR="00881E10" w:rsidP="00881E10" w:rsidRDefault="00881E10" w14:paraId="6389E676" w14:textId="77777777">
            <w:pPr>
              <w:pStyle w:val="Listeavsnitt"/>
              <w:numPr>
                <w:ilvl w:val="0"/>
                <w:numId w:val="24"/>
              </w:numPr>
            </w:pPr>
            <w:r>
              <w:t xml:space="preserve">God foredragsholdere. </w:t>
            </w:r>
          </w:p>
          <w:p w:rsidR="00350F7A" w:rsidP="00881E10" w:rsidRDefault="00350F7A" w14:paraId="0369B1C1" w14:textId="77777777">
            <w:pPr>
              <w:pStyle w:val="Listeavsnitt"/>
              <w:numPr>
                <w:ilvl w:val="0"/>
                <w:numId w:val="24"/>
              </w:numPr>
            </w:pPr>
            <w:r>
              <w:t xml:space="preserve">Han har holdt foredrag for FAU før. </w:t>
            </w:r>
          </w:p>
          <w:p w:rsidR="00350F7A" w:rsidP="00881E10" w:rsidRDefault="00350F7A" w14:paraId="478A3E99" w14:textId="77777777">
            <w:pPr>
              <w:pStyle w:val="Listeavsnitt"/>
              <w:numPr>
                <w:ilvl w:val="0"/>
                <w:numId w:val="24"/>
              </w:numPr>
            </w:pPr>
            <w:r>
              <w:t xml:space="preserve">Få frem konsekvensene. </w:t>
            </w:r>
          </w:p>
          <w:p w:rsidR="00350F7A" w:rsidP="00881E10" w:rsidRDefault="00350F7A" w14:paraId="7AAAC331" w14:textId="77777777">
            <w:pPr>
              <w:pStyle w:val="Listeavsnitt"/>
              <w:numPr>
                <w:ilvl w:val="0"/>
                <w:numId w:val="24"/>
              </w:numPr>
            </w:pPr>
            <w:r>
              <w:t xml:space="preserve">Hva kan man bidra med som foreldre. </w:t>
            </w:r>
          </w:p>
          <w:p w:rsidR="00350F7A" w:rsidP="00881E10" w:rsidRDefault="00350F7A" w14:paraId="34C8BE03" w14:textId="08BC591F">
            <w:pPr>
              <w:pStyle w:val="Listeavsnitt"/>
              <w:numPr>
                <w:ilvl w:val="0"/>
                <w:numId w:val="24"/>
              </w:numPr>
            </w:pPr>
            <w:r>
              <w:t>Sende ut invitasjon på SPOND</w:t>
            </w:r>
            <w:r w:rsidR="006F2DE6">
              <w:t>, transponer, hjemmesidene</w:t>
            </w:r>
          </w:p>
          <w:p w:rsidR="00350F7A" w:rsidP="00881E10" w:rsidRDefault="00350F7A" w14:paraId="617D210F" w14:textId="215B8DDD">
            <w:pPr>
              <w:pStyle w:val="Listeavsnitt"/>
              <w:numPr>
                <w:ilvl w:val="0"/>
                <w:numId w:val="24"/>
              </w:numPr>
            </w:pPr>
            <w:r>
              <w:t>Skal vi invitere fra andre skoler</w:t>
            </w:r>
            <w:r w:rsidR="006F2DE6">
              <w:t xml:space="preserve">, </w:t>
            </w:r>
            <w:proofErr w:type="spellStart"/>
            <w:r w:rsidR="006F2DE6">
              <w:t>Aspervika</w:t>
            </w:r>
            <w:proofErr w:type="spellEnd"/>
            <w:r w:rsidR="006F2DE6">
              <w:t xml:space="preserve">, Øygard og Sviland. </w:t>
            </w:r>
            <w:proofErr w:type="spellStart"/>
            <w:r w:rsidR="006F2DE6">
              <w:t>Gehen</w:t>
            </w:r>
            <w:proofErr w:type="spellEnd"/>
            <w:r w:rsidR="006F2DE6">
              <w:t xml:space="preserve"> fikser. </w:t>
            </w:r>
          </w:p>
          <w:p w:rsidRPr="00133F20" w:rsidR="00350F7A" w:rsidP="00881E10" w:rsidRDefault="00350F7A" w14:paraId="0DEE3551" w14:textId="7D41FC2A">
            <w:pPr>
              <w:pStyle w:val="Listeavsnitt"/>
              <w:numPr>
                <w:ilvl w:val="0"/>
                <w:numId w:val="24"/>
              </w:numPr>
            </w:pPr>
            <w:r>
              <w:t xml:space="preserve">Sandnesposten skriver en SAK. 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06802E16" w14:textId="77777777">
            <w:r w:rsidRPr="00133F20">
              <w:t> </w:t>
            </w:r>
          </w:p>
        </w:tc>
      </w:tr>
      <w:tr w:rsidRPr="00133F20" w:rsidR="00133F20" w:rsidTr="0CCB8006" w14:paraId="7E05800E" w14:textId="77777777">
        <w:trPr>
          <w:trHeight w:val="690"/>
        </w:trPr>
        <w:tc>
          <w:tcPr>
            <w:tcW w:w="5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133F20" w:rsidR="00133F20" w:rsidP="00133F20" w:rsidRDefault="00133F20" w14:paraId="5BD04BE1" w14:textId="77777777">
            <w:r w:rsidRPr="00133F20">
              <w:t> </w:t>
            </w:r>
          </w:p>
        </w:tc>
        <w:tc>
          <w:tcPr>
            <w:tcW w:w="6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133F20" w:rsidP="00133F20" w:rsidRDefault="00133F20" w14:paraId="5AC4EAF0" w14:textId="77777777">
            <w:r w:rsidRPr="00133F20">
              <w:t> </w:t>
            </w:r>
            <w:proofErr w:type="spellStart"/>
            <w:r w:rsidR="00477980">
              <w:t>Karnevall</w:t>
            </w:r>
            <w:proofErr w:type="spellEnd"/>
            <w:r w:rsidR="00477980">
              <w:t>:</w:t>
            </w:r>
          </w:p>
          <w:p w:rsidRPr="00133F20" w:rsidR="00477980" w:rsidP="00477980" w:rsidRDefault="00477980" w14:paraId="60FBE734" w14:textId="25E237A1">
            <w:pPr>
              <w:pStyle w:val="Listeavsnitt"/>
              <w:numPr>
                <w:ilvl w:val="0"/>
                <w:numId w:val="24"/>
              </w:numPr>
            </w:pPr>
            <w:r>
              <w:t xml:space="preserve">Planlegge sammen. </w:t>
            </w:r>
            <w:r w:rsidR="00A44192">
              <w:t xml:space="preserve">1-3, 4-5 og 6-7. Planlegge til neste møte. 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/>
            <w:hideMark/>
          </w:tcPr>
          <w:p w:rsidRPr="00133F20" w:rsidR="00133F20" w:rsidP="00133F20" w:rsidRDefault="00133F20" w14:paraId="3AE1A862" w14:textId="77777777">
            <w:r w:rsidRPr="00133F20">
              <w:t> </w:t>
            </w:r>
          </w:p>
        </w:tc>
      </w:tr>
    </w:tbl>
    <w:p w:rsidRPr="00133F20" w:rsidR="00133F20" w:rsidP="00133F20" w:rsidRDefault="00133F20" w14:paraId="48C35558" w14:textId="77777777">
      <w:r w:rsidRPr="00133F20">
        <w:t> </w:t>
      </w:r>
    </w:p>
    <w:p w:rsidR="00317D96" w:rsidRDefault="00317D96" w14:paraId="04FC6501" w14:textId="785D93C8">
      <w:r>
        <w:t xml:space="preserve"> </w:t>
      </w:r>
    </w:p>
    <w:sectPr w:rsidR="00317D9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758"/>
    <w:multiLevelType w:val="multilevel"/>
    <w:tmpl w:val="812E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81F1B8E"/>
    <w:multiLevelType w:val="multilevel"/>
    <w:tmpl w:val="90DC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5A290F"/>
    <w:multiLevelType w:val="multilevel"/>
    <w:tmpl w:val="9820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8701CF3"/>
    <w:multiLevelType w:val="multilevel"/>
    <w:tmpl w:val="960A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FE764C3"/>
    <w:multiLevelType w:val="multilevel"/>
    <w:tmpl w:val="CB8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F531367"/>
    <w:multiLevelType w:val="multilevel"/>
    <w:tmpl w:val="2806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993493E"/>
    <w:multiLevelType w:val="multilevel"/>
    <w:tmpl w:val="2FE2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DF91B96"/>
    <w:multiLevelType w:val="multilevel"/>
    <w:tmpl w:val="E35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20C4B90"/>
    <w:multiLevelType w:val="multilevel"/>
    <w:tmpl w:val="2920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24E42FD"/>
    <w:multiLevelType w:val="multilevel"/>
    <w:tmpl w:val="37C0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2705A88"/>
    <w:multiLevelType w:val="multilevel"/>
    <w:tmpl w:val="A842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B17501E"/>
    <w:multiLevelType w:val="multilevel"/>
    <w:tmpl w:val="A4CE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B516ABD"/>
    <w:multiLevelType w:val="multilevel"/>
    <w:tmpl w:val="54A6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20521D2"/>
    <w:multiLevelType w:val="multilevel"/>
    <w:tmpl w:val="5FF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78F2489"/>
    <w:multiLevelType w:val="multilevel"/>
    <w:tmpl w:val="C144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CA11D38"/>
    <w:multiLevelType w:val="multilevel"/>
    <w:tmpl w:val="2DAE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D244CE3"/>
    <w:multiLevelType w:val="multilevel"/>
    <w:tmpl w:val="BED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E161275"/>
    <w:multiLevelType w:val="multilevel"/>
    <w:tmpl w:val="7034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7AF3C06"/>
    <w:multiLevelType w:val="multilevel"/>
    <w:tmpl w:val="EF3A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82866C5"/>
    <w:multiLevelType w:val="multilevel"/>
    <w:tmpl w:val="B486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D6E49C4"/>
    <w:multiLevelType w:val="multilevel"/>
    <w:tmpl w:val="626C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E001F43"/>
    <w:multiLevelType w:val="multilevel"/>
    <w:tmpl w:val="15AA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7EA01CD5"/>
    <w:multiLevelType w:val="multilevel"/>
    <w:tmpl w:val="8E5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FCF03E8"/>
    <w:multiLevelType w:val="hybridMultilevel"/>
    <w:tmpl w:val="1C50A0B0"/>
    <w:lvl w:ilvl="0" w:tplc="CABE5592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2048942">
    <w:abstractNumId w:val="20"/>
  </w:num>
  <w:num w:numId="2" w16cid:durableId="1343820871">
    <w:abstractNumId w:val="8"/>
  </w:num>
  <w:num w:numId="3" w16cid:durableId="191843602">
    <w:abstractNumId w:val="3"/>
  </w:num>
  <w:num w:numId="4" w16cid:durableId="272514975">
    <w:abstractNumId w:val="16"/>
  </w:num>
  <w:num w:numId="5" w16cid:durableId="1595825086">
    <w:abstractNumId w:val="22"/>
  </w:num>
  <w:num w:numId="6" w16cid:durableId="699669080">
    <w:abstractNumId w:val="6"/>
  </w:num>
  <w:num w:numId="7" w16cid:durableId="653610129">
    <w:abstractNumId w:val="14"/>
  </w:num>
  <w:num w:numId="8" w16cid:durableId="1911576893">
    <w:abstractNumId w:val="1"/>
  </w:num>
  <w:num w:numId="9" w16cid:durableId="119812924">
    <w:abstractNumId w:val="7"/>
  </w:num>
  <w:num w:numId="10" w16cid:durableId="630592859">
    <w:abstractNumId w:val="10"/>
  </w:num>
  <w:num w:numId="11" w16cid:durableId="687682429">
    <w:abstractNumId w:val="19"/>
  </w:num>
  <w:num w:numId="12" w16cid:durableId="63184185">
    <w:abstractNumId w:val="21"/>
  </w:num>
  <w:num w:numId="13" w16cid:durableId="1166171771">
    <w:abstractNumId w:val="9"/>
  </w:num>
  <w:num w:numId="14" w16cid:durableId="2017489743">
    <w:abstractNumId w:val="15"/>
  </w:num>
  <w:num w:numId="15" w16cid:durableId="208999101">
    <w:abstractNumId w:val="18"/>
  </w:num>
  <w:num w:numId="16" w16cid:durableId="1831478465">
    <w:abstractNumId w:val="2"/>
  </w:num>
  <w:num w:numId="17" w16cid:durableId="1023164380">
    <w:abstractNumId w:val="5"/>
  </w:num>
  <w:num w:numId="18" w16cid:durableId="553083649">
    <w:abstractNumId w:val="0"/>
  </w:num>
  <w:num w:numId="19" w16cid:durableId="1678340996">
    <w:abstractNumId w:val="12"/>
  </w:num>
  <w:num w:numId="20" w16cid:durableId="1036084149">
    <w:abstractNumId w:val="11"/>
  </w:num>
  <w:num w:numId="21" w16cid:durableId="1113594478">
    <w:abstractNumId w:val="17"/>
  </w:num>
  <w:num w:numId="22" w16cid:durableId="1638609031">
    <w:abstractNumId w:val="4"/>
  </w:num>
  <w:num w:numId="23" w16cid:durableId="332689727">
    <w:abstractNumId w:val="13"/>
  </w:num>
  <w:num w:numId="24" w16cid:durableId="4055685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96"/>
    <w:rsid w:val="00133F20"/>
    <w:rsid w:val="00317D96"/>
    <w:rsid w:val="00350F7A"/>
    <w:rsid w:val="00477980"/>
    <w:rsid w:val="006F2DE6"/>
    <w:rsid w:val="00866712"/>
    <w:rsid w:val="00881E10"/>
    <w:rsid w:val="00A44192"/>
    <w:rsid w:val="01089B51"/>
    <w:rsid w:val="03D7AEAB"/>
    <w:rsid w:val="0CCB8006"/>
    <w:rsid w:val="0DAB4F71"/>
    <w:rsid w:val="4EB4D06A"/>
    <w:rsid w:val="5F864AB8"/>
    <w:rsid w:val="6E98F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C889"/>
  <w15:chartTrackingRefBased/>
  <w15:docId w15:val="{555C131E-9207-49F2-B43A-065356DC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7D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7D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7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7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7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7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7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7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317D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317D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17D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17D96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17D96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17D96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17D96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17D96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17D9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17D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17D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1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7D96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17D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7D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17D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7D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17D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17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Pollestad, Kathrine</dc:creator>
  <keywords/>
  <dc:description/>
  <lastModifiedBy>Gehan Skhmot</lastModifiedBy>
  <revision>6</revision>
  <dcterms:created xsi:type="dcterms:W3CDTF">2026-01-08T18:04:00.0000000Z</dcterms:created>
  <dcterms:modified xsi:type="dcterms:W3CDTF">2026-01-26T11:26:02.5048851Z</dcterms:modified>
</coreProperties>
</file>